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64" w:rsidRDefault="00875F64" w:rsidP="00875F64">
      <w:pPr>
        <w:rPr>
          <w:b/>
          <w:sz w:val="64"/>
          <w:szCs w:val="64"/>
        </w:rPr>
      </w:pPr>
      <w:r>
        <w:rPr>
          <w:b/>
          <w:sz w:val="64"/>
          <w:szCs w:val="64"/>
        </w:rPr>
        <w:t>Einige Gründe für Spaltungen</w:t>
      </w:r>
    </w:p>
    <w:p w:rsidR="00875F64" w:rsidRPr="00732858" w:rsidRDefault="00875F64" w:rsidP="00875F64">
      <w:pPr>
        <w:rPr>
          <w:b/>
          <w:sz w:val="28"/>
          <w:szCs w:val="28"/>
        </w:rPr>
      </w:pPr>
    </w:p>
    <w:p w:rsidR="00875F64" w:rsidRDefault="00875F64" w:rsidP="00875F64">
      <w:pPr>
        <w:ind w:left="360" w:hanging="360"/>
        <w:rPr>
          <w:sz w:val="62"/>
          <w:szCs w:val="62"/>
        </w:rPr>
      </w:pPr>
      <w:r>
        <w:rPr>
          <w:sz w:val="62"/>
          <w:szCs w:val="62"/>
        </w:rPr>
        <w:fldChar w:fldCharType="begin"/>
      </w:r>
      <w:r>
        <w:rPr>
          <w:sz w:val="62"/>
          <w:szCs w:val="62"/>
        </w:rPr>
        <w:instrText>SYMBOL 183 \f "Symbol" \s 12 \h</w:instrText>
      </w:r>
      <w:r>
        <w:rPr>
          <w:sz w:val="62"/>
          <w:szCs w:val="62"/>
        </w:rPr>
        <w:fldChar w:fldCharType="end"/>
      </w:r>
      <w:r>
        <w:rPr>
          <w:sz w:val="62"/>
          <w:szCs w:val="62"/>
        </w:rPr>
        <w:tab/>
        <w:t>nicht-</w:t>
      </w:r>
      <w:proofErr w:type="spellStart"/>
      <w:r>
        <w:rPr>
          <w:sz w:val="62"/>
          <w:szCs w:val="62"/>
        </w:rPr>
        <w:t>lehrmässige</w:t>
      </w:r>
      <w:proofErr w:type="spellEnd"/>
      <w:r>
        <w:rPr>
          <w:sz w:val="62"/>
          <w:szCs w:val="62"/>
        </w:rPr>
        <w:t xml:space="preserve"> ("weltliche", politische) Faktoren</w:t>
      </w:r>
      <w:r w:rsidR="00FD1E26">
        <w:rPr>
          <w:sz w:val="62"/>
          <w:szCs w:val="62"/>
        </w:rPr>
        <w:br/>
      </w:r>
    </w:p>
    <w:p w:rsidR="00875F64" w:rsidRDefault="00875F64" w:rsidP="00875F64">
      <w:pPr>
        <w:ind w:left="360" w:hanging="360"/>
        <w:rPr>
          <w:sz w:val="62"/>
          <w:szCs w:val="62"/>
        </w:rPr>
      </w:pPr>
      <w:r>
        <w:rPr>
          <w:sz w:val="62"/>
          <w:szCs w:val="62"/>
        </w:rPr>
        <w:fldChar w:fldCharType="begin"/>
      </w:r>
      <w:r>
        <w:rPr>
          <w:sz w:val="62"/>
          <w:szCs w:val="62"/>
        </w:rPr>
        <w:instrText>SYMBOL 183 \f "Symbol" \s 12 \h</w:instrText>
      </w:r>
      <w:r>
        <w:rPr>
          <w:sz w:val="62"/>
          <w:szCs w:val="62"/>
        </w:rPr>
        <w:fldChar w:fldCharType="end"/>
      </w:r>
      <w:r w:rsidRPr="0080209F">
        <w:rPr>
          <w:sz w:val="62"/>
          <w:szCs w:val="62"/>
        </w:rPr>
        <w:t xml:space="preserve"> </w:t>
      </w:r>
      <w:r>
        <w:rPr>
          <w:sz w:val="62"/>
          <w:szCs w:val="62"/>
        </w:rPr>
        <w:t>Verhältnis Kirche – Staat</w:t>
      </w:r>
      <w:r w:rsidR="00FD1E26">
        <w:rPr>
          <w:sz w:val="62"/>
          <w:szCs w:val="62"/>
        </w:rPr>
        <w:br/>
      </w:r>
    </w:p>
    <w:p w:rsidR="00875F64" w:rsidRDefault="00875F64" w:rsidP="00875F64">
      <w:pPr>
        <w:ind w:left="360" w:hanging="360"/>
        <w:rPr>
          <w:sz w:val="62"/>
          <w:szCs w:val="62"/>
        </w:rPr>
      </w:pPr>
      <w:r>
        <w:rPr>
          <w:sz w:val="62"/>
          <w:szCs w:val="62"/>
        </w:rPr>
        <w:fldChar w:fldCharType="begin"/>
      </w:r>
      <w:r>
        <w:rPr>
          <w:sz w:val="62"/>
          <w:szCs w:val="62"/>
        </w:rPr>
        <w:instrText>SYMBOL 183 \f "Symbol" \s 12 \h</w:instrText>
      </w:r>
      <w:r>
        <w:rPr>
          <w:sz w:val="62"/>
          <w:szCs w:val="62"/>
        </w:rPr>
        <w:fldChar w:fldCharType="end"/>
      </w:r>
      <w:r>
        <w:rPr>
          <w:sz w:val="62"/>
          <w:szCs w:val="62"/>
        </w:rPr>
        <w:tab/>
        <w:t>Missstände</w:t>
      </w:r>
      <w:r w:rsidR="00FD1E26">
        <w:rPr>
          <w:sz w:val="62"/>
          <w:szCs w:val="62"/>
        </w:rPr>
        <w:br/>
      </w:r>
    </w:p>
    <w:p w:rsidR="00875F64" w:rsidRDefault="00875F64" w:rsidP="00875F64">
      <w:pPr>
        <w:ind w:left="360" w:hanging="360"/>
        <w:rPr>
          <w:sz w:val="62"/>
          <w:szCs w:val="62"/>
        </w:rPr>
      </w:pPr>
      <w:r>
        <w:rPr>
          <w:sz w:val="62"/>
          <w:szCs w:val="62"/>
        </w:rPr>
        <w:fldChar w:fldCharType="begin"/>
      </w:r>
      <w:r>
        <w:rPr>
          <w:sz w:val="62"/>
          <w:szCs w:val="62"/>
        </w:rPr>
        <w:instrText>SYMBOL 183 \f "Symbol" \s 12 \h</w:instrText>
      </w:r>
      <w:r>
        <w:rPr>
          <w:sz w:val="62"/>
          <w:szCs w:val="62"/>
        </w:rPr>
        <w:fldChar w:fldCharType="end"/>
      </w:r>
      <w:r>
        <w:rPr>
          <w:sz w:val="62"/>
          <w:szCs w:val="62"/>
        </w:rPr>
        <w:tab/>
        <w:t>verbindliche Glaubensgrundlagen: Schrift, Tradition, Lehramt</w:t>
      </w:r>
      <w:r w:rsidR="00FD1E26">
        <w:rPr>
          <w:sz w:val="62"/>
          <w:szCs w:val="62"/>
        </w:rPr>
        <w:br/>
      </w:r>
    </w:p>
    <w:p w:rsidR="00875F64" w:rsidRDefault="00875F64" w:rsidP="00875F64">
      <w:pPr>
        <w:ind w:left="360" w:hanging="360"/>
        <w:rPr>
          <w:sz w:val="62"/>
          <w:szCs w:val="62"/>
        </w:rPr>
      </w:pPr>
      <w:r>
        <w:rPr>
          <w:sz w:val="62"/>
          <w:szCs w:val="62"/>
        </w:rPr>
        <w:fldChar w:fldCharType="begin"/>
      </w:r>
      <w:r>
        <w:rPr>
          <w:sz w:val="62"/>
          <w:szCs w:val="62"/>
        </w:rPr>
        <w:instrText>SYMBOL 183 \f "Symbol" \s 12 \h</w:instrText>
      </w:r>
      <w:r>
        <w:rPr>
          <w:sz w:val="62"/>
          <w:szCs w:val="62"/>
        </w:rPr>
        <w:fldChar w:fldCharType="end"/>
      </w:r>
      <w:r>
        <w:rPr>
          <w:sz w:val="62"/>
          <w:szCs w:val="62"/>
        </w:rPr>
        <w:tab/>
      </w:r>
      <w:proofErr w:type="spellStart"/>
      <w:r>
        <w:rPr>
          <w:sz w:val="62"/>
          <w:szCs w:val="62"/>
        </w:rPr>
        <w:t>Sakramentenverständnis</w:t>
      </w:r>
      <w:proofErr w:type="spellEnd"/>
      <w:r>
        <w:rPr>
          <w:sz w:val="62"/>
          <w:szCs w:val="62"/>
        </w:rPr>
        <w:t>, bes. Eucharistie</w:t>
      </w:r>
      <w:r w:rsidR="00FD1E26">
        <w:rPr>
          <w:sz w:val="62"/>
          <w:szCs w:val="62"/>
        </w:rPr>
        <w:br/>
      </w:r>
    </w:p>
    <w:p w:rsidR="00875F64" w:rsidRDefault="00875F64" w:rsidP="00875F64">
      <w:pPr>
        <w:ind w:left="360" w:hanging="360"/>
        <w:rPr>
          <w:sz w:val="62"/>
          <w:szCs w:val="62"/>
        </w:rPr>
      </w:pPr>
      <w:r>
        <w:rPr>
          <w:sz w:val="62"/>
          <w:szCs w:val="62"/>
        </w:rPr>
        <w:fldChar w:fldCharType="begin"/>
      </w:r>
      <w:r>
        <w:rPr>
          <w:sz w:val="62"/>
          <w:szCs w:val="62"/>
        </w:rPr>
        <w:instrText>SYMBOL 183 \f "Symbol" \s 12 \h</w:instrText>
      </w:r>
      <w:r>
        <w:rPr>
          <w:sz w:val="62"/>
          <w:szCs w:val="62"/>
        </w:rPr>
        <w:fldChar w:fldCharType="end"/>
      </w:r>
      <w:r>
        <w:rPr>
          <w:sz w:val="62"/>
          <w:szCs w:val="62"/>
        </w:rPr>
        <w:tab/>
        <w:t>Amtsverständnis</w:t>
      </w:r>
      <w:r w:rsidR="00FD1E26">
        <w:rPr>
          <w:sz w:val="62"/>
          <w:szCs w:val="62"/>
        </w:rPr>
        <w:br/>
      </w:r>
    </w:p>
    <w:p w:rsidR="00875F64" w:rsidRDefault="00875F64" w:rsidP="00875F64">
      <w:pPr>
        <w:ind w:left="360" w:hanging="360"/>
        <w:rPr>
          <w:sz w:val="62"/>
          <w:szCs w:val="62"/>
        </w:rPr>
      </w:pPr>
      <w:r>
        <w:rPr>
          <w:sz w:val="62"/>
          <w:szCs w:val="62"/>
        </w:rPr>
        <w:fldChar w:fldCharType="begin"/>
      </w:r>
      <w:r>
        <w:rPr>
          <w:sz w:val="62"/>
          <w:szCs w:val="62"/>
        </w:rPr>
        <w:instrText>SYMBOL 183 \f "Symbol" \s 12 \h</w:instrText>
      </w:r>
      <w:r>
        <w:rPr>
          <w:sz w:val="62"/>
          <w:szCs w:val="62"/>
        </w:rPr>
        <w:fldChar w:fldCharType="end"/>
      </w:r>
      <w:r>
        <w:rPr>
          <w:sz w:val="62"/>
          <w:szCs w:val="62"/>
        </w:rPr>
        <w:tab/>
        <w:t>Papsttum: Primat + Unfehlbarkeit</w:t>
      </w:r>
    </w:p>
    <w:p w:rsidR="00875F64" w:rsidRPr="00732858" w:rsidRDefault="00875F64" w:rsidP="00875F64">
      <w:pPr>
        <w:ind w:left="360" w:hanging="360"/>
        <w:rPr>
          <w:sz w:val="28"/>
          <w:szCs w:val="28"/>
        </w:rPr>
      </w:pPr>
    </w:p>
    <w:p w:rsidR="00FD1E26" w:rsidRDefault="00FD1E26" w:rsidP="00875F64">
      <w:pPr>
        <w:ind w:left="360" w:hanging="360"/>
        <w:rPr>
          <w:b/>
          <w:sz w:val="62"/>
          <w:szCs w:val="62"/>
        </w:rPr>
      </w:pPr>
    </w:p>
    <w:sectPr w:rsidR="00FD1E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16BB0">
      <w:r>
        <w:separator/>
      </w:r>
    </w:p>
  </w:endnote>
  <w:endnote w:type="continuationSeparator" w:id="0">
    <w:p w:rsidR="00000000" w:rsidRDefault="0031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BB0" w:rsidRDefault="00316B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BEC" w:rsidRPr="00C07BEC" w:rsidRDefault="00C07BEC" w:rsidP="00C07BEC">
    <w:pPr>
      <w:pStyle w:val="Fuzeile"/>
      <w:rPr>
        <w:rFonts w:ascii="Century Gothic" w:hAnsi="Century Gothic"/>
        <w:sz w:val="20"/>
      </w:rPr>
    </w:pPr>
    <w:r w:rsidRPr="00C07BEC">
      <w:rPr>
        <w:rFonts w:ascii="Century Gothic" w:hAnsi="Century Gothic"/>
        <w:sz w:val="20"/>
      </w:rPr>
      <w:t>Kir</w:t>
    </w:r>
    <w:r w:rsidR="001459F3">
      <w:rPr>
        <w:rFonts w:ascii="Century Gothic" w:hAnsi="Century Gothic"/>
        <w:sz w:val="20"/>
      </w:rPr>
      <w:t>che als Ort der Begegnung / sieb</w:t>
    </w:r>
    <w:r w:rsidRPr="00C07BEC">
      <w:rPr>
        <w:rFonts w:ascii="Century Gothic" w:hAnsi="Century Gothic"/>
        <w:sz w:val="20"/>
      </w:rPr>
      <w:t>te Kurseinheit</w:t>
    </w:r>
    <w:r>
      <w:rPr>
        <w:rFonts w:ascii="Century Gothic" w:hAnsi="Century Gothic"/>
        <w:sz w:val="20"/>
      </w:rPr>
      <w:tab/>
      <w:t xml:space="preserve">         Folie 1</w:t>
    </w:r>
    <w:r w:rsidR="00B225A3">
      <w:rPr>
        <w:rFonts w:ascii="Century Gothic" w:hAnsi="Century Gothic"/>
        <w:sz w:val="20"/>
      </w:rPr>
      <w:t>9</w:t>
    </w:r>
  </w:p>
  <w:p w:rsidR="00C07BEC" w:rsidRPr="00C07BEC" w:rsidRDefault="00C07BEC" w:rsidP="00C07B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BB0" w:rsidRDefault="00316B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16BB0">
      <w:r>
        <w:separator/>
      </w:r>
    </w:p>
  </w:footnote>
  <w:footnote w:type="continuationSeparator" w:id="0">
    <w:p w:rsidR="00000000" w:rsidRDefault="00316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BB0" w:rsidRDefault="00316B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BEC" w:rsidRPr="00C07BEC" w:rsidRDefault="00316BB0" w:rsidP="00C07BEC">
    <w:pPr>
      <w:pStyle w:val="Kopfzeile"/>
      <w:rPr>
        <w:rFonts w:ascii="Century Gothic" w:hAnsi="Century Gothic"/>
      </w:rPr>
    </w:pPr>
    <w:r>
      <w:rPr>
        <w:rFonts w:ascii="Century Gothic" w:hAnsi="Century Gothic"/>
        <w:sz w:val="20"/>
      </w:rPr>
      <w:t xml:space="preserve">TBI – Theologische </w:t>
    </w:r>
    <w:r>
      <w:rPr>
        <w:rFonts w:ascii="Century Gothic" w:hAnsi="Century Gothic"/>
        <w:sz w:val="20"/>
      </w:rPr>
      <w:t>Grundbildung</w:t>
    </w:r>
    <w:bookmarkStart w:id="0" w:name="_GoBack"/>
    <w:bookmarkEnd w:id="0"/>
    <w:r w:rsidR="00C07BEC" w:rsidRPr="00C07BEC">
      <w:rPr>
        <w:rFonts w:ascii="Century Gothic" w:hAnsi="Century Gothic"/>
        <w:sz w:val="20"/>
      </w:rPr>
      <w:tab/>
    </w:r>
    <w:r w:rsidR="00C07BEC" w:rsidRPr="00C07BEC">
      <w:rPr>
        <w:rFonts w:ascii="Century Gothic" w:hAnsi="Century Gothic"/>
        <w:sz w:val="20"/>
      </w:rPr>
      <w:tab/>
      <w:t>Gott und Welt verstehen / 2. Trimester</w:t>
    </w:r>
  </w:p>
  <w:p w:rsidR="00C07BEC" w:rsidRDefault="00C07B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BB0" w:rsidRDefault="00316B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64"/>
    <w:rsid w:val="001459F3"/>
    <w:rsid w:val="00171D70"/>
    <w:rsid w:val="001C573B"/>
    <w:rsid w:val="00316BB0"/>
    <w:rsid w:val="00875F64"/>
    <w:rsid w:val="00AF39AF"/>
    <w:rsid w:val="00B225A3"/>
    <w:rsid w:val="00C07BEC"/>
    <w:rsid w:val="00C11B10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4789E63-B0AA-41B0-9C45-A365A57F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5F64"/>
    <w:rPr>
      <w:rFonts w:ascii="Times New Roman" w:eastAsia="Times New Roman" w:hAnsi="Times New Roman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7B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7B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Einige Gründe für Spaltungen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Einige Gründe für Spaltungen</dc:title>
  <dc:subject/>
  <dc:creator>Felix</dc:creator>
  <cp:keywords/>
  <cp:lastModifiedBy> Romy Janson</cp:lastModifiedBy>
  <cp:revision>2</cp:revision>
  <dcterms:created xsi:type="dcterms:W3CDTF">2019-10-03T10:40:00Z</dcterms:created>
  <dcterms:modified xsi:type="dcterms:W3CDTF">2019-10-03T10:40:00Z</dcterms:modified>
</cp:coreProperties>
</file>