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C" w:rsidRPr="003123B8" w:rsidRDefault="00140D7C" w:rsidP="003123B8">
      <w:bookmarkStart w:id="0" w:name="_GoBack"/>
      <w:bookmarkEnd w:id="0"/>
      <w:r w:rsidRPr="003123B8">
        <w:rPr>
          <w:b/>
        </w:rPr>
        <w:t xml:space="preserve">Apostolizität der Kirche </w:t>
      </w:r>
      <w:r w:rsidRPr="003123B8">
        <w:t>bezeichnet eine Eigenschaft, die der Kirche von</w:t>
      </w:r>
      <w:r w:rsidR="000B0982">
        <w:t xml:space="preserve"> </w:t>
      </w:r>
      <w:r w:rsidRPr="003123B8">
        <w:t xml:space="preserve">ihrem innersten Wesen her zukommt u. die besagt, </w:t>
      </w:r>
      <w:proofErr w:type="spellStart"/>
      <w:r w:rsidRPr="003123B8">
        <w:t>daß</w:t>
      </w:r>
      <w:proofErr w:type="spellEnd"/>
      <w:r w:rsidRPr="003123B8">
        <w:t xml:space="preserve"> die heute existierende Kirche trotz ihrer geschichtlichen Entwicklung u. Veränderung in ihrem Wesen mit der Kirche der Apostel identisch ist. Zusammen mit</w:t>
      </w:r>
      <w:r w:rsidR="00B442DF" w:rsidRPr="003123B8">
        <w:t xml:space="preserve"> </w:t>
      </w:r>
      <w:r w:rsidRPr="003123B8">
        <w:t>der Einheit, Heiligkeit u. Katholizität gehört die A. zu den Merkmalen</w:t>
      </w:r>
      <w:r w:rsidR="00B442DF" w:rsidRPr="003123B8">
        <w:t xml:space="preserve"> </w:t>
      </w:r>
      <w:r w:rsidRPr="003123B8">
        <w:t xml:space="preserve">(Kennzeichen), an denen nach der klassischen Theologie die </w:t>
      </w:r>
      <w:r w:rsidR="000B0982">
        <w:t xml:space="preserve"> </w:t>
      </w:r>
      <w:r w:rsidRPr="003123B8">
        <w:t>wahre Kirche«</w:t>
      </w:r>
      <w:r w:rsidR="00B442DF" w:rsidRPr="003123B8">
        <w:t xml:space="preserve"> </w:t>
      </w:r>
      <w:r w:rsidRPr="003123B8">
        <w:t xml:space="preserve">Jesu erkannt werden kann. Die A. wurde vom 4. Jh. an in die </w:t>
      </w:r>
      <w:r w:rsidR="000B0982">
        <w:t xml:space="preserve"> G</w:t>
      </w:r>
      <w:r w:rsidRPr="003123B8">
        <w:t>laubensbekenntnisse</w:t>
      </w:r>
      <w:r w:rsidR="00B442DF" w:rsidRPr="003123B8">
        <w:t xml:space="preserve"> </w:t>
      </w:r>
      <w:r w:rsidRPr="003123B8">
        <w:t xml:space="preserve">aufgenommen. Die Art u. Weise, wie Paulus seine </w:t>
      </w:r>
      <w:r w:rsidR="000B0982">
        <w:t>g</w:t>
      </w:r>
      <w:r w:rsidRPr="003123B8">
        <w:t>esamtkirchliche</w:t>
      </w:r>
      <w:r w:rsidR="00B442DF" w:rsidRPr="003123B8">
        <w:t xml:space="preserve"> </w:t>
      </w:r>
      <w:r w:rsidRPr="003123B8">
        <w:t>Aufgabe als Apostel verstand u. ausübte, markiert den</w:t>
      </w:r>
      <w:r w:rsidR="000B0982">
        <w:t xml:space="preserve"> </w:t>
      </w:r>
      <w:r w:rsidRPr="003123B8">
        <w:t xml:space="preserve">Beginn einer </w:t>
      </w:r>
      <w:proofErr w:type="spellStart"/>
      <w:r w:rsidRPr="003123B8">
        <w:t>theol</w:t>
      </w:r>
      <w:proofErr w:type="spellEnd"/>
      <w:r w:rsidRPr="003123B8">
        <w:t>. Reflexion. Die Pastoralbriefe suchen die »gesunde Lehre«</w:t>
      </w:r>
      <w:r w:rsidR="000B0982">
        <w:t xml:space="preserve"> </w:t>
      </w:r>
      <w:r w:rsidRPr="003123B8">
        <w:t>durch den Nachweis ihrer Herkunft von Paulus u. durch seine Handauflegung</w:t>
      </w:r>
      <w:r w:rsidR="000B0982">
        <w:t xml:space="preserve"> </w:t>
      </w:r>
      <w:r w:rsidRPr="003123B8">
        <w:t>zu sichern (2 Tim 1, 6 12 14). Von da aus gelten nicht nur Identität</w:t>
      </w:r>
      <w:r w:rsidR="000B0982">
        <w:t xml:space="preserve"> </w:t>
      </w:r>
      <w:r w:rsidRPr="003123B8">
        <w:t>u. Kontinuität der Verkündigung, sondern auch die Amtsnachfolge</w:t>
      </w:r>
      <w:r w:rsidR="000B0982">
        <w:t xml:space="preserve"> </w:t>
      </w:r>
      <w:r w:rsidRPr="003123B8">
        <w:t>der Bischöfe u. insbesondere des Bischofs von Rom als Kriterien der A.</w:t>
      </w:r>
      <w:r w:rsidR="000B0982">
        <w:t xml:space="preserve"> </w:t>
      </w:r>
      <w:r w:rsidRPr="003123B8">
        <w:t>(Irenäus von Lyon † um 202). Im Mönchtum u. in Reformbewegungen</w:t>
      </w:r>
      <w:r w:rsidR="000B0982">
        <w:t xml:space="preserve"> </w:t>
      </w:r>
      <w:r w:rsidRPr="003123B8">
        <w:t>nimmt die Übereinstimmung mit den Aposteln im Glauben, im Zeugnis</w:t>
      </w:r>
      <w:r w:rsidR="000B0982">
        <w:t xml:space="preserve"> </w:t>
      </w:r>
      <w:r w:rsidRPr="003123B8">
        <w:t>des Wortes u. in der Praxis breiteren Raum ein als die amtlich immer eindrücklicher</w:t>
      </w:r>
      <w:r w:rsidR="000B0982">
        <w:t xml:space="preserve"> </w:t>
      </w:r>
      <w:r w:rsidRPr="003123B8">
        <w:t>vertretene Theorie einer auf gültiger sakramentaler Weihe beruhenden</w:t>
      </w:r>
      <w:r w:rsidR="000B0982">
        <w:t xml:space="preserve"> </w:t>
      </w:r>
      <w:r w:rsidRPr="003123B8">
        <w:t xml:space="preserve">»materialen« Nachfolgerschaft </w:t>
      </w:r>
      <w:r w:rsidRPr="003123B8">
        <w:rPr>
          <w:rFonts w:cs="AdvSWAR"/>
        </w:rPr>
        <w:t>(</w:t>
      </w:r>
      <w:r w:rsidR="003123B8">
        <w:t>apostolische Sukzession</w:t>
      </w:r>
      <w:r w:rsidRPr="003123B8">
        <w:t>). Dass die</w:t>
      </w:r>
      <w:r w:rsidR="000B0982">
        <w:t xml:space="preserve"> </w:t>
      </w:r>
      <w:r w:rsidRPr="003123B8">
        <w:t>Bischöfe auch die Apostolizität der nichtbiblischen Tradition garantieren,</w:t>
      </w:r>
      <w:r w:rsidR="000B0982">
        <w:t xml:space="preserve"> </w:t>
      </w:r>
      <w:r w:rsidRPr="003123B8">
        <w:t>wird seit dem kirchlichen Altertum an gelehrt u. in der ostkirchlichen</w:t>
      </w:r>
      <w:r w:rsidR="000B0982">
        <w:t xml:space="preserve"> </w:t>
      </w:r>
      <w:r w:rsidRPr="003123B8">
        <w:t>Orthodoxie besonders betont. Nach ev. Glaubensauffassung ist die A. damit</w:t>
      </w:r>
      <w:r w:rsidR="000B0982">
        <w:t xml:space="preserve"> </w:t>
      </w:r>
      <w:r w:rsidRPr="003123B8">
        <w:t>gegeben, dass in der Kirche Gottes Wort gemäß der apostolischen Botschaft</w:t>
      </w:r>
    </w:p>
    <w:p w:rsidR="00F31EF9" w:rsidRDefault="00140D7C" w:rsidP="003123B8">
      <w:r w:rsidRPr="003123B8">
        <w:t>in ihr lebendig ist. Das II. Vaticanum hat sich wiederholt zur A. als</w:t>
      </w:r>
      <w:r w:rsidR="000B0982">
        <w:t xml:space="preserve"> </w:t>
      </w:r>
      <w:r w:rsidRPr="003123B8">
        <w:t>Eigenschaft der Gesamtkirche geäußert u. den Versuch gemacht, in der</w:t>
      </w:r>
      <w:r w:rsidR="000B0982">
        <w:t xml:space="preserve"> </w:t>
      </w:r>
      <w:r w:rsidRPr="003123B8">
        <w:t>Konzeption des Bischofskollegiums als Nachfolgerschaft des Apostelkollegiums</w:t>
      </w:r>
      <w:r w:rsidR="000B0982">
        <w:t xml:space="preserve"> </w:t>
      </w:r>
      <w:r w:rsidRPr="003123B8">
        <w:t>die überbetonte Rolle des Papstes, in dem man früher die A. konzentriert sah, etwas zurückzunehmen.</w:t>
      </w:r>
    </w:p>
    <w:p w:rsidR="003123B8" w:rsidRDefault="003123B8" w:rsidP="003123B8"/>
    <w:p w:rsidR="003123B8" w:rsidRPr="003123B8" w:rsidRDefault="003123B8" w:rsidP="003123B8">
      <w:pPr>
        <w:jc w:val="right"/>
        <w:rPr>
          <w:i/>
        </w:rPr>
      </w:pPr>
      <w:r w:rsidRPr="003123B8">
        <w:rPr>
          <w:i/>
        </w:rPr>
        <w:t>Herbert Vorgrimler, Neues theologisches Wörterbuch, Freiburg i. Br. 2000, 56f.</w:t>
      </w:r>
    </w:p>
    <w:p w:rsidR="00B442DF" w:rsidRPr="003123B8" w:rsidRDefault="00B442DF" w:rsidP="003123B8"/>
    <w:p w:rsidR="00B442DF" w:rsidRDefault="00B442DF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FA72D1">
        <w:rPr>
          <w:b/>
        </w:rPr>
        <w:t>apostolisch</w:t>
      </w:r>
      <w:r>
        <w:t xml:space="preserve"> ist?</w:t>
      </w:r>
    </w:p>
    <w:p w:rsidR="00B442DF" w:rsidRDefault="00B442DF" w:rsidP="003123B8">
      <w:r>
        <w:t>Wie kann dieses Merkmal heute verstanden und erklärt werden?</w:t>
      </w:r>
    </w:p>
    <w:p w:rsidR="00B442DF" w:rsidRDefault="00B442DF" w:rsidP="003123B8"/>
    <w:p w:rsidR="00B442DF" w:rsidRDefault="00B442DF" w:rsidP="003123B8"/>
    <w:p w:rsidR="00140D7C" w:rsidRPr="003123B8" w:rsidRDefault="00F31EF9" w:rsidP="003123B8">
      <w:r>
        <w:br w:type="page"/>
      </w:r>
      <w:r w:rsidR="00140D7C" w:rsidRPr="003123B8">
        <w:rPr>
          <w:b/>
        </w:rPr>
        <w:lastRenderedPageBreak/>
        <w:t xml:space="preserve">Einheit der Kirche. </w:t>
      </w:r>
      <w:r w:rsidR="00140D7C" w:rsidRPr="003123B8">
        <w:rPr>
          <w:rFonts w:cs="Minion-Italic"/>
          <w:i/>
          <w:iCs/>
        </w:rPr>
        <w:t xml:space="preserve">1. Biblisch. </w:t>
      </w:r>
      <w:r w:rsidR="00140D7C" w:rsidRPr="003123B8">
        <w:t>In der ältesten Begrifflichkeit des NT zum</w:t>
      </w:r>
      <w:r w:rsidRPr="003123B8">
        <w:t xml:space="preserve"> </w:t>
      </w:r>
      <w:r w:rsidR="00140D7C" w:rsidRPr="003123B8">
        <w:t>Thema Kirc</w:t>
      </w:r>
      <w:r w:rsidRPr="003123B8">
        <w:t>he</w:t>
      </w:r>
      <w:r w:rsidR="00140D7C" w:rsidRPr="003123B8">
        <w:t>, bei Paulus, wird von »der Kirche Gottes« in der Einzahl u.</w:t>
      </w:r>
      <w:r w:rsidR="00F91610" w:rsidRPr="003123B8">
        <w:t xml:space="preserve"> </w:t>
      </w:r>
      <w:r w:rsidR="00140D7C" w:rsidRPr="003123B8">
        <w:t>von »den Kirchen« im Plural, nämlich im Sinn der Ortskirchen u. der</w:t>
      </w:r>
      <w:r w:rsidR="00F91610" w:rsidRPr="003123B8">
        <w:t xml:space="preserve"> </w:t>
      </w:r>
      <w:r w:rsidR="00140D7C" w:rsidRPr="003123B8">
        <w:t xml:space="preserve">Hauskirchen, gesprochen, ohne </w:t>
      </w:r>
      <w:r w:rsidR="00F91610" w:rsidRPr="003123B8">
        <w:t>dass</w:t>
      </w:r>
      <w:r w:rsidR="00140D7C" w:rsidRPr="003123B8">
        <w:t xml:space="preserve"> dies </w:t>
      </w:r>
      <w:proofErr w:type="spellStart"/>
      <w:r w:rsidR="000B0982">
        <w:t>t</w:t>
      </w:r>
      <w:r w:rsidR="00140D7C" w:rsidRPr="003123B8">
        <w:t>heol</w:t>
      </w:r>
      <w:proofErr w:type="spellEnd"/>
      <w:r w:rsidR="00140D7C" w:rsidRPr="003123B8">
        <w:t xml:space="preserve">. problematisch wäre. </w:t>
      </w:r>
      <w:r w:rsidR="00F91610" w:rsidRPr="003123B8">
        <w:t xml:space="preserve">Dass </w:t>
      </w:r>
      <w:r w:rsidR="00140D7C" w:rsidRPr="003123B8">
        <w:t xml:space="preserve">die Kirche nach dem Willen Gottes nur </w:t>
      </w:r>
      <w:r w:rsidR="00140D7C" w:rsidRPr="003123B8">
        <w:rPr>
          <w:rFonts w:cs="Minion-Italic"/>
          <w:i/>
          <w:iCs/>
        </w:rPr>
        <w:t xml:space="preserve">eine </w:t>
      </w:r>
      <w:r w:rsidR="00140D7C" w:rsidRPr="003123B8">
        <w:t xml:space="preserve">ist, </w:t>
      </w:r>
      <w:r w:rsidR="000B0982">
        <w:t xml:space="preserve"> e</w:t>
      </w:r>
      <w:r w:rsidR="00140D7C" w:rsidRPr="003123B8">
        <w:t>rgibt sich aus den Metaphern</w:t>
      </w:r>
      <w:r w:rsidR="00F91610" w:rsidRPr="003123B8">
        <w:t xml:space="preserve"> </w:t>
      </w:r>
      <w:r w:rsidR="00140D7C" w:rsidRPr="003123B8">
        <w:t>für Kirche (Pflanzung Gottes, Tempel Gottes, Bau oder Haus Gottes</w:t>
      </w:r>
      <w:r w:rsidR="00F91610" w:rsidRPr="003123B8">
        <w:t xml:space="preserve"> </w:t>
      </w:r>
      <w:r w:rsidR="00140D7C" w:rsidRPr="003123B8">
        <w:t xml:space="preserve">usw.) wie aus </w:t>
      </w:r>
      <w:proofErr w:type="spellStart"/>
      <w:r w:rsidR="00140D7C" w:rsidRPr="003123B8">
        <w:t>theol</w:t>
      </w:r>
      <w:proofErr w:type="spellEnd"/>
      <w:r w:rsidR="00140D7C" w:rsidRPr="003123B8">
        <w:t>. Begründungen: Die Kirche gründ</w:t>
      </w:r>
      <w:r w:rsidR="00F91610" w:rsidRPr="003123B8">
        <w:t>et in dem einen Wir</w:t>
      </w:r>
      <w:r w:rsidR="00140D7C" w:rsidRPr="003123B8">
        <w:t>ken</w:t>
      </w:r>
      <w:r w:rsidR="00F91610" w:rsidRPr="003123B8">
        <w:t xml:space="preserve"> </w:t>
      </w:r>
      <w:r w:rsidR="00140D7C" w:rsidRPr="003123B8">
        <w:t>Gottes, in der einen Offenbarung in dem einen Jesus Christus, im</w:t>
      </w:r>
      <w:r w:rsidR="00F91610" w:rsidRPr="003123B8">
        <w:t xml:space="preserve"> </w:t>
      </w:r>
      <w:r w:rsidR="00140D7C" w:rsidRPr="003123B8">
        <w:t>Wirken des einen Geistes (1 Kor 8, 6; Eph 2, 18 u. ö.), konkretisiert u. aktualisiert</w:t>
      </w:r>
      <w:r w:rsidR="00F91610" w:rsidRPr="003123B8">
        <w:t xml:space="preserve"> </w:t>
      </w:r>
      <w:r w:rsidR="00140D7C" w:rsidRPr="003123B8">
        <w:t>in dem einen Evangel</w:t>
      </w:r>
      <w:r w:rsidRPr="003123B8">
        <w:t>ium</w:t>
      </w:r>
      <w:r w:rsidR="00140D7C" w:rsidRPr="003123B8">
        <w:t>, der einen Tau</w:t>
      </w:r>
      <w:r w:rsidRPr="003123B8">
        <w:t>fe</w:t>
      </w:r>
      <w:r w:rsidR="00140D7C" w:rsidRPr="003123B8">
        <w:t xml:space="preserve">, der einen </w:t>
      </w:r>
      <w:r w:rsidR="00F91610" w:rsidRPr="003123B8">
        <w:t>Eucha</w:t>
      </w:r>
      <w:r w:rsidR="00140D7C" w:rsidRPr="003123B8">
        <w:t>ristie</w:t>
      </w:r>
      <w:r w:rsidR="00F91610" w:rsidRPr="003123B8">
        <w:t xml:space="preserve"> </w:t>
      </w:r>
      <w:r w:rsidR="00140D7C" w:rsidRPr="003123B8">
        <w:t>(am Modell des Leibes Jesu Christi verdeutlicht; 1 Kor 10, 17) u. dem einen Amt. Diese E. d. K. ist auf innere Einheit im Glauben u. in der</w:t>
      </w:r>
      <w:r w:rsidR="00F91610" w:rsidRPr="003123B8">
        <w:t xml:space="preserve"> </w:t>
      </w:r>
      <w:r w:rsidR="00140D7C" w:rsidRPr="003123B8">
        <w:t>Lebenspraxis angewiesen, daher wird die Grenze gezogen gegenüber dem</w:t>
      </w:r>
      <w:r w:rsidR="00F91610" w:rsidRPr="003123B8">
        <w:t xml:space="preserve"> </w:t>
      </w:r>
      <w:r w:rsidR="00140D7C" w:rsidRPr="003123B8">
        <w:t>»Draußen«, in das sich ein Mensch durch schwere Schuld freiwillig begeben</w:t>
      </w:r>
      <w:r w:rsidR="00F91610" w:rsidRPr="003123B8">
        <w:t xml:space="preserve"> </w:t>
      </w:r>
      <w:r w:rsidR="00140D7C" w:rsidRPr="003123B8">
        <w:t xml:space="preserve">hat </w:t>
      </w:r>
      <w:r w:rsidR="00140D7C" w:rsidRPr="003123B8">
        <w:rPr>
          <w:rFonts w:cs="AdvSWAR"/>
        </w:rPr>
        <w:t>(</w:t>
      </w:r>
      <w:r w:rsidR="00140D7C" w:rsidRPr="003123B8">
        <w:t>Bußsakrament), u. insbesondere in der Abwehr der spalterisch</w:t>
      </w:r>
    </w:p>
    <w:p w:rsidR="00140D7C" w:rsidRPr="003123B8" w:rsidRDefault="00140D7C" w:rsidP="003123B8">
      <w:r w:rsidRPr="003123B8">
        <w:t>wirkenden Parteibildungen der »Falschlehrer«, die die E. d. K. bedrohen.</w:t>
      </w:r>
      <w:r w:rsidR="00F91610" w:rsidRPr="003123B8">
        <w:t xml:space="preserve"> </w:t>
      </w:r>
      <w:r w:rsidRPr="003123B8">
        <w:t>Die Pluralität der Ortskirchen, der Kulturen u. Mentalitäten (Juden u.</w:t>
      </w:r>
      <w:r w:rsidR="00F91610" w:rsidRPr="003123B8">
        <w:t xml:space="preserve"> </w:t>
      </w:r>
      <w:r w:rsidRPr="003123B8">
        <w:t>Heiden: Gal 2, 11–14) u. der Charismen is</w:t>
      </w:r>
      <w:r w:rsidR="00F91610" w:rsidRPr="003123B8">
        <w:t>t legitim u. nicht lebensbedroh</w:t>
      </w:r>
      <w:r w:rsidRPr="003123B8">
        <w:t>lich</w:t>
      </w:r>
      <w:r w:rsidR="00F91610" w:rsidRPr="003123B8">
        <w:t xml:space="preserve"> </w:t>
      </w:r>
      <w:r w:rsidRPr="003123B8">
        <w:t>für die E. d. K. Eine Rückbindung an den einen Ursprung ist in der</w:t>
      </w:r>
      <w:r w:rsidR="00F91610" w:rsidRPr="003123B8">
        <w:t xml:space="preserve"> </w:t>
      </w:r>
      <w:r w:rsidRPr="003123B8">
        <w:t>Anerkennung Jerusalems als der Mutterkirche zu sehen (Gal 2, 1–10; Apg</w:t>
      </w:r>
      <w:r w:rsidR="00F91610" w:rsidRPr="003123B8">
        <w:t xml:space="preserve"> </w:t>
      </w:r>
      <w:r w:rsidRPr="003123B8">
        <w:t xml:space="preserve">15, 1–34), ohne </w:t>
      </w:r>
      <w:r w:rsidR="00F91610" w:rsidRPr="003123B8">
        <w:t>dass</w:t>
      </w:r>
      <w:r w:rsidRPr="003123B8">
        <w:t xml:space="preserve"> daraus ein instituti</w:t>
      </w:r>
      <w:r w:rsidR="00F91610" w:rsidRPr="003123B8">
        <w:t>onelles Zentrum der E. d. K. ge</w:t>
      </w:r>
      <w:r w:rsidRPr="003123B8">
        <w:t>macht</w:t>
      </w:r>
      <w:r w:rsidR="00F91610" w:rsidRPr="003123B8">
        <w:t xml:space="preserve"> </w:t>
      </w:r>
      <w:r w:rsidRPr="003123B8">
        <w:t xml:space="preserve">worden wäre. – </w:t>
      </w:r>
      <w:r w:rsidRPr="003123B8">
        <w:rPr>
          <w:rFonts w:cs="Minion-Italic"/>
          <w:i/>
          <w:iCs/>
        </w:rPr>
        <w:t xml:space="preserve">2. Systematisch. </w:t>
      </w:r>
      <w:r w:rsidRPr="003123B8">
        <w:t>Die E. d. K. ist eines der vier im</w:t>
      </w:r>
      <w:r w:rsidR="00F91610" w:rsidRPr="003123B8">
        <w:t xml:space="preserve"> </w:t>
      </w:r>
      <w:r w:rsidRPr="003123B8">
        <w:t>Glaubensbekenntnis genannten Merkmale der Kirche Jesu Christi. Die</w:t>
      </w:r>
      <w:r w:rsidR="00F91610" w:rsidRPr="003123B8">
        <w:t xml:space="preserve"> </w:t>
      </w:r>
      <w:r w:rsidRPr="003123B8">
        <w:t>Existenz vieler institutionell von einande</w:t>
      </w:r>
      <w:r w:rsidR="00F91610" w:rsidRPr="003123B8">
        <w:t>r getrennter Kirchen u. kirchli</w:t>
      </w:r>
      <w:r w:rsidRPr="003123B8">
        <w:t>cher</w:t>
      </w:r>
      <w:r w:rsidR="00F91610" w:rsidRPr="003123B8">
        <w:t xml:space="preserve"> </w:t>
      </w:r>
      <w:r w:rsidRPr="003123B8">
        <w:t xml:space="preserve">Gemeinschaften </w:t>
      </w:r>
      <w:r w:rsidR="00F91610" w:rsidRPr="003123B8">
        <w:t>lässt</w:t>
      </w:r>
      <w:r w:rsidRPr="003123B8">
        <w:t xml:space="preserve"> die Frage aufkommen, wie die Trennung zu</w:t>
      </w:r>
      <w:r w:rsidR="00F91610" w:rsidRPr="003123B8">
        <w:t xml:space="preserve"> </w:t>
      </w:r>
      <w:r w:rsidRPr="003123B8">
        <w:t>überwinden u. die E. d. K. wiederhergestellt werden könnte. Dabei zeigt</w:t>
      </w:r>
      <w:r w:rsidR="00F91610" w:rsidRPr="003123B8">
        <w:t xml:space="preserve"> </w:t>
      </w:r>
      <w:r w:rsidRPr="003123B8">
        <w:t xml:space="preserve">die E. d. K. zwei Aspekte. Theoretisch wäre </w:t>
      </w:r>
      <w:r w:rsidR="00F91610" w:rsidRPr="003123B8">
        <w:t>die E. d. K. als Herstellung ei</w:t>
      </w:r>
      <w:r w:rsidRPr="003123B8">
        <w:t>ner</w:t>
      </w:r>
      <w:r w:rsidR="00F91610" w:rsidRPr="003123B8">
        <w:t xml:space="preserve"> </w:t>
      </w:r>
      <w:r w:rsidRPr="003123B8">
        <w:t>institutionell gesicherten Einheit de</w:t>
      </w:r>
      <w:r w:rsidR="00F91610" w:rsidRPr="003123B8">
        <w:t>nkbar, entweder durch eine Eini</w:t>
      </w:r>
      <w:r w:rsidRPr="003123B8">
        <w:t>gung</w:t>
      </w:r>
      <w:r w:rsidR="00F91610" w:rsidRPr="003123B8">
        <w:t xml:space="preserve"> </w:t>
      </w:r>
      <w:r w:rsidRPr="003123B8">
        <w:t>auf eine institutionelle, mit Lehr- u</w:t>
      </w:r>
      <w:r w:rsidR="00F91610" w:rsidRPr="003123B8">
        <w:t>. Leitungsbefugnissen ausgestat</w:t>
      </w:r>
      <w:r w:rsidRPr="003123B8">
        <w:t>tete</w:t>
      </w:r>
    </w:p>
    <w:p w:rsidR="00140D7C" w:rsidRPr="003123B8" w:rsidRDefault="00140D7C" w:rsidP="003123B8">
      <w:r w:rsidRPr="003123B8">
        <w:t>Größe oder durch »Rückkehr« aller Getrennten in eine Mutterkirche,</w:t>
      </w:r>
      <w:r w:rsidR="00F91610" w:rsidRPr="003123B8">
        <w:t xml:space="preserve"> </w:t>
      </w:r>
      <w:r w:rsidRPr="003123B8">
        <w:t>z. B. in die von Rom aus geleitete Großkirche. Beide Wege sind nicht gangbar,</w:t>
      </w:r>
      <w:r w:rsidR="00F91610" w:rsidRPr="003123B8">
        <w:t xml:space="preserve"> </w:t>
      </w:r>
      <w:r w:rsidRPr="003123B8">
        <w:t>weil Einheit hier von einer Uniformität her verstanden wäre, die von</w:t>
      </w:r>
      <w:r w:rsidR="00F91610" w:rsidRPr="003123B8">
        <w:t xml:space="preserve"> </w:t>
      </w:r>
      <w:r w:rsidRPr="003123B8">
        <w:t>der großen Mehrzahl der Christen als (psychische) Gewalt, die zur Verleugnung</w:t>
      </w:r>
      <w:r w:rsidR="00F91610" w:rsidRPr="003123B8">
        <w:t xml:space="preserve"> </w:t>
      </w:r>
      <w:r w:rsidRPr="003123B8">
        <w:t>von Gewissensüberzeugungen u. von Eigenwerten nötigen</w:t>
      </w:r>
      <w:r w:rsidR="00F91610" w:rsidRPr="003123B8">
        <w:t xml:space="preserve"> müsste</w:t>
      </w:r>
      <w:r w:rsidRPr="003123B8">
        <w:t xml:space="preserve">, empfunden würde. E. d. K. kann </w:t>
      </w:r>
      <w:r w:rsidR="00F91610" w:rsidRPr="003123B8">
        <w:t>aber auch von einem geschwister</w:t>
      </w:r>
      <w:r w:rsidRPr="003123B8">
        <w:t>lichen</w:t>
      </w:r>
      <w:r w:rsidR="00F91610" w:rsidRPr="003123B8">
        <w:t xml:space="preserve"> </w:t>
      </w:r>
      <w:r w:rsidRPr="003123B8">
        <w:t>Gemeinschaftswillen her verstanden werden. Voraussetzung dafür</w:t>
      </w:r>
    </w:p>
    <w:p w:rsidR="00140D7C" w:rsidRDefault="00140D7C" w:rsidP="003123B8">
      <w:r w:rsidRPr="003123B8">
        <w:t>wäre, gegenseitige Verurteilungen rückgängig zu machen u. unentwegt</w:t>
      </w:r>
      <w:r w:rsidR="00F91610" w:rsidRPr="003123B8">
        <w:t xml:space="preserve"> </w:t>
      </w:r>
      <w:r w:rsidRPr="003123B8">
        <w:t xml:space="preserve">nach bestehenden Gemeinsamkeiten zu </w:t>
      </w:r>
      <w:r w:rsidR="00F91610" w:rsidRPr="003123B8">
        <w:t>suchen, um von einer »nicht vol</w:t>
      </w:r>
      <w:r w:rsidRPr="003123B8">
        <w:t>len</w:t>
      </w:r>
      <w:r w:rsidR="00F91610" w:rsidRPr="003123B8">
        <w:t xml:space="preserve"> G</w:t>
      </w:r>
      <w:r w:rsidRPr="003123B8">
        <w:t>emeinschaft« zu einer »vollen Gemeinschaft« zu gelangen. Das Ziel</w:t>
      </w:r>
      <w:r w:rsidR="00F91610" w:rsidRPr="003123B8">
        <w:t xml:space="preserve"> </w:t>
      </w:r>
      <w:r w:rsidRPr="003123B8">
        <w:t xml:space="preserve">wäre eine E. d. K. als </w:t>
      </w:r>
      <w:r w:rsidR="00F91610" w:rsidRPr="003123B8">
        <w:t>K</w:t>
      </w:r>
      <w:r w:rsidRPr="003123B8">
        <w:t>irchengemeinschaft selbständiger, in versöhnter</w:t>
      </w:r>
      <w:r w:rsidR="00F91610" w:rsidRPr="003123B8">
        <w:t xml:space="preserve"> </w:t>
      </w:r>
      <w:r w:rsidRPr="003123B8">
        <w:t>Verschiedenheit mit einander verbundene</w:t>
      </w:r>
      <w:r w:rsidR="00F91610" w:rsidRPr="003123B8">
        <w:t>r Kirchen. Als Motiv, solche Ge</w:t>
      </w:r>
      <w:r w:rsidRPr="003123B8">
        <w:t>meinschaft</w:t>
      </w:r>
      <w:r w:rsidR="00F91610" w:rsidRPr="003123B8">
        <w:t xml:space="preserve"> </w:t>
      </w:r>
      <w:r w:rsidRPr="003123B8">
        <w:t xml:space="preserve">überhaupt herzustellen, wird durchwegs genannt, </w:t>
      </w:r>
      <w:r w:rsidR="00F91610" w:rsidRPr="003123B8">
        <w:t>dass</w:t>
      </w:r>
      <w:r w:rsidRPr="003123B8">
        <w:t xml:space="preserve"> Spaltungen</w:t>
      </w:r>
      <w:r w:rsidR="00F91610" w:rsidRPr="003123B8">
        <w:t xml:space="preserve"> </w:t>
      </w:r>
      <w:r w:rsidRPr="003123B8">
        <w:t>u. Feindseligkeiten das Gelingen des W</w:t>
      </w:r>
      <w:r w:rsidR="00F91610" w:rsidRPr="003123B8">
        <w:t>erkes Gottes in der Welt beschä</w:t>
      </w:r>
      <w:r w:rsidRPr="003123B8">
        <w:t>digen.</w:t>
      </w:r>
    </w:p>
    <w:p w:rsidR="003123B8" w:rsidRDefault="003123B8" w:rsidP="003123B8"/>
    <w:p w:rsidR="003123B8" w:rsidRPr="003123B8" w:rsidRDefault="003123B8" w:rsidP="003123B8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145</w:t>
      </w:r>
      <w:r w:rsidRPr="003123B8">
        <w:rPr>
          <w:i/>
        </w:rPr>
        <w:t>f.</w:t>
      </w:r>
    </w:p>
    <w:p w:rsidR="003123B8" w:rsidRPr="003123B8" w:rsidRDefault="003123B8" w:rsidP="003123B8"/>
    <w:p w:rsidR="00B442DF" w:rsidRPr="00F91610" w:rsidRDefault="00B442DF" w:rsidP="003123B8"/>
    <w:p w:rsidR="00140D7C" w:rsidRPr="00F91610" w:rsidRDefault="00140D7C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B442DF">
        <w:rPr>
          <w:b/>
        </w:rPr>
        <w:t>eine</w:t>
      </w:r>
      <w:r>
        <w:t xml:space="preserve"> ist?</w:t>
      </w:r>
    </w:p>
    <w:p w:rsidR="00B442DF" w:rsidRDefault="00B442DF" w:rsidP="003123B8">
      <w:r>
        <w:t>Wie kann dieses Merkmal heute verstanden werden – angesichts der Vielzahl der Konfessionen?</w:t>
      </w:r>
    </w:p>
    <w:p w:rsidR="00140D7C" w:rsidRPr="003123B8" w:rsidRDefault="00F31EF9" w:rsidP="003123B8">
      <w:r>
        <w:rPr>
          <w:b/>
          <w:color w:val="000000"/>
        </w:rPr>
        <w:br w:type="page"/>
      </w:r>
      <w:r w:rsidR="00140D7C" w:rsidRPr="003123B8">
        <w:rPr>
          <w:b/>
        </w:rPr>
        <w:lastRenderedPageBreak/>
        <w:t xml:space="preserve">Heiligkeit der Kirche </w:t>
      </w:r>
      <w:r w:rsidR="00140D7C" w:rsidRPr="003123B8">
        <w:t>ist in der Sicht der</w:t>
      </w:r>
      <w:r w:rsidR="00F91610" w:rsidRPr="003123B8">
        <w:t xml:space="preserve"> kath. Theologie eines ihrer We</w:t>
      </w:r>
      <w:r w:rsidR="00140D7C" w:rsidRPr="003123B8">
        <w:t>sensmerkmale,</w:t>
      </w:r>
    </w:p>
    <w:p w:rsidR="00F91610" w:rsidRPr="003123B8" w:rsidRDefault="00140D7C" w:rsidP="003123B8">
      <w:r w:rsidRPr="003123B8">
        <w:t xml:space="preserve">die zugleich Erkennungszeichen sind, so </w:t>
      </w:r>
      <w:r w:rsidR="00F91610" w:rsidRPr="003123B8">
        <w:t>dass</w:t>
      </w:r>
      <w:r w:rsidRPr="003123B8">
        <w:t xml:space="preserve"> die Kirche</w:t>
      </w:r>
      <w:r w:rsidR="000B0982">
        <w:t xml:space="preserve"> </w:t>
      </w:r>
      <w:r w:rsidRPr="003123B8">
        <w:t>also an ihrer Heiligkeit als die Kirche Jesu erkannt werden kann. Es ist</w:t>
      </w:r>
      <w:r w:rsidR="000B0982">
        <w:t xml:space="preserve"> </w:t>
      </w:r>
      <w:r w:rsidRPr="003123B8">
        <w:t>nicht legitim, die H. d. K. auf die Ersterwählung Israels zum einzigartigen</w:t>
      </w:r>
      <w:r w:rsidR="000B0982">
        <w:t xml:space="preserve"> </w:t>
      </w:r>
      <w:r w:rsidRPr="003123B8">
        <w:t>Eigentumsvolk Gottes zurückzuführen. Die H. d. K. geht auf das NT</w:t>
      </w:r>
      <w:r w:rsidR="000B0982">
        <w:t xml:space="preserve"> </w:t>
      </w:r>
      <w:r w:rsidRPr="003123B8">
        <w:t>zurück, denn die apostolische Verhaltensweise gegenüber der Existenz</w:t>
      </w:r>
      <w:r w:rsidR="000B0982">
        <w:t xml:space="preserve"> </w:t>
      </w:r>
      <w:r w:rsidRPr="003123B8">
        <w:t>schwerer Schuld in den Gemeinden ist von der Sorge um die H. d. K. bestimmt</w:t>
      </w:r>
      <w:r w:rsidR="000B0982">
        <w:t xml:space="preserve"> </w:t>
      </w:r>
      <w:r w:rsidR="00F91610" w:rsidRPr="003123B8">
        <w:rPr>
          <w:rFonts w:cs="AdvSWAR"/>
        </w:rPr>
        <w:t>(</w:t>
      </w:r>
      <w:r w:rsidRPr="003123B8">
        <w:t>Bußsakrament). Das Bekenntnis zur H. d. K. findet sich in den</w:t>
      </w:r>
      <w:r w:rsidR="000B0982">
        <w:t xml:space="preserve"> </w:t>
      </w:r>
      <w:r w:rsidRPr="003123B8">
        <w:t>auch ökumenisch geltenden Glaubensbekenntnisse</w:t>
      </w:r>
      <w:r w:rsidR="00F91610" w:rsidRPr="003123B8">
        <w:t>n. »Objektiv« bedeu</w:t>
      </w:r>
      <w:r w:rsidRPr="003123B8">
        <w:t>tet</w:t>
      </w:r>
      <w:r w:rsidR="000B0982">
        <w:t xml:space="preserve"> </w:t>
      </w:r>
      <w:r w:rsidRPr="003123B8">
        <w:t xml:space="preserve">die H. d. K., </w:t>
      </w:r>
      <w:r w:rsidR="00F91610" w:rsidRPr="003123B8">
        <w:t>dass</w:t>
      </w:r>
      <w:r w:rsidRPr="003123B8">
        <w:t xml:space="preserve"> die Kirche das Medium des Heils u. der Gnade Gottes</w:t>
      </w:r>
      <w:r w:rsidR="000B0982">
        <w:t xml:space="preserve"> </w:t>
      </w:r>
      <w:r w:rsidRPr="003123B8">
        <w:t>in der Welt ist, von Gott in Dienst genommen u. daher zur Erfüllung ihrer</w:t>
      </w:r>
      <w:r w:rsidR="000B0982">
        <w:t xml:space="preserve"> </w:t>
      </w:r>
      <w:r w:rsidRPr="003123B8">
        <w:t xml:space="preserve">Aufgabe </w:t>
      </w:r>
      <w:r w:rsidR="00F91610" w:rsidRPr="003123B8">
        <w:t>verlässlich</w:t>
      </w:r>
      <w:r w:rsidRPr="003123B8">
        <w:t xml:space="preserve"> zugerüstet (II. Vaticanum LG 1, 9, 48, 59;</w:t>
      </w:r>
      <w:r w:rsidR="00F31EF9" w:rsidRPr="003123B8">
        <w:t xml:space="preserve"> </w:t>
      </w:r>
      <w:r w:rsidRPr="003123B8">
        <w:t>GS</w:t>
      </w:r>
      <w:r w:rsidR="00F31EF9" w:rsidRPr="003123B8">
        <w:t xml:space="preserve"> </w:t>
      </w:r>
      <w:r w:rsidRPr="003123B8">
        <w:t>42, 45</w:t>
      </w:r>
      <w:r w:rsidR="00F91610" w:rsidRPr="003123B8">
        <w:t xml:space="preserve"> u. ö.). »Subjektiv« bedeutet sie, dass es der Kirche nie an der »Wolke der</w:t>
      </w:r>
      <w:r w:rsidR="000B0982">
        <w:t xml:space="preserve"> </w:t>
      </w:r>
      <w:r w:rsidR="00F91610" w:rsidRPr="003123B8">
        <w:t>Zeugen« (Hebr 12, 1), an subjektiver Heiligkeit ihrer Glieder fehlen werde</w:t>
      </w:r>
      <w:r w:rsidR="000B0982">
        <w:t xml:space="preserve"> </w:t>
      </w:r>
      <w:r w:rsidR="00F91610" w:rsidRPr="003123B8">
        <w:rPr>
          <w:rFonts w:cs="AdvSWAR"/>
        </w:rPr>
        <w:t>(</w:t>
      </w:r>
      <w:r w:rsidR="00F91610" w:rsidRPr="003123B8">
        <w:t>Heiligkeit des Menschen). Diese Lehre wäre missverständlich ohne die</w:t>
      </w:r>
    </w:p>
    <w:p w:rsidR="00F91610" w:rsidRPr="003123B8" w:rsidRDefault="00F91610" w:rsidP="003123B8">
      <w:r w:rsidRPr="003123B8">
        <w:t>andere Glaubenslehre (definiert seit dem Konzil von Konsta</w:t>
      </w:r>
      <w:r w:rsidR="00F31EF9" w:rsidRPr="003123B8">
        <w:t>nz</w:t>
      </w:r>
      <w:r w:rsidRPr="003123B8">
        <w:t>), dass die</w:t>
      </w:r>
      <w:r w:rsidR="000B0982">
        <w:t xml:space="preserve"> </w:t>
      </w:r>
      <w:r w:rsidRPr="003123B8">
        <w:t>Sünder zur Kirche gehören (wie das in Erklärungen, von der Zeit des</w:t>
      </w:r>
      <w:r w:rsidR="000B0982">
        <w:t xml:space="preserve"> </w:t>
      </w:r>
      <w:r w:rsidRPr="003123B8">
        <w:t>Montanismus bis zu der des Jansenismus, immer wieder festgehalten</w:t>
      </w:r>
      <w:r w:rsidR="000B0982">
        <w:t xml:space="preserve"> </w:t>
      </w:r>
      <w:r w:rsidRPr="003123B8">
        <w:t>wurde), so dass die Kirche zugleich eine Kirche der Sünder ist (Mt</w:t>
      </w:r>
      <w:r w:rsidR="000B0982">
        <w:t xml:space="preserve"> </w:t>
      </w:r>
      <w:r w:rsidRPr="003123B8">
        <w:t xml:space="preserve">13, 47–50; 18, 17 u. ö.). Das heißt nicht nur, dass es </w:t>
      </w:r>
      <w:r w:rsidRPr="003123B8">
        <w:rPr>
          <w:rFonts w:cs="Minion-Italic"/>
          <w:iCs/>
        </w:rPr>
        <w:t xml:space="preserve">in </w:t>
      </w:r>
      <w:r w:rsidRPr="003123B8">
        <w:t>der Kirche Sünder</w:t>
      </w:r>
      <w:r w:rsidR="000B0982">
        <w:t xml:space="preserve"> </w:t>
      </w:r>
      <w:r w:rsidRPr="003123B8">
        <w:t>gibt, sondern auch, dass die Kirche selber sündig ist, insofern ihre Glieder</w:t>
      </w:r>
      <w:r w:rsidR="000B0982">
        <w:t xml:space="preserve"> </w:t>
      </w:r>
      <w:r w:rsidRPr="003123B8">
        <w:t>auch als Repräsentanten der Kirche Sünder sind u. sein werden, so dass die</w:t>
      </w:r>
    </w:p>
    <w:p w:rsidR="00140D7C" w:rsidRPr="003123B8" w:rsidRDefault="00F91610" w:rsidP="003123B8">
      <w:r w:rsidRPr="003123B8">
        <w:t>Kirche selber ständiger Erneuerung u. Läuterung bedarf (II. Vaticanum</w:t>
      </w:r>
      <w:r w:rsidR="000B0982">
        <w:t xml:space="preserve"> </w:t>
      </w:r>
      <w:r w:rsidRPr="003123B8">
        <w:t>UR 4, 6 u. ö.). Mit dem Bekenntnis zur H. d. K. ist also nur gesagt, dass</w:t>
      </w:r>
      <w:r w:rsidR="000B0982">
        <w:t xml:space="preserve"> </w:t>
      </w:r>
      <w:r w:rsidRPr="003123B8">
        <w:t>die Kirche durch Schuld nie so entstellt werden kann, dass der Heilige</w:t>
      </w:r>
      <w:r w:rsidR="000B0982">
        <w:t xml:space="preserve"> </w:t>
      </w:r>
      <w:r w:rsidRPr="003123B8">
        <w:t>Geist völlig aus ihr weichen würde oder sich nie mehr in ihr geschichtlich</w:t>
      </w:r>
      <w:r w:rsidR="000B0982">
        <w:t xml:space="preserve"> </w:t>
      </w:r>
      <w:r w:rsidRPr="003123B8">
        <w:t>darstellen könnte. Durch die Gnade Gottes ist die Kirche im voraus zum</w:t>
      </w:r>
      <w:r w:rsidR="000B0982">
        <w:t xml:space="preserve"> </w:t>
      </w:r>
      <w:r w:rsidRPr="003123B8">
        <w:t>tatsächlichen Verhalten ihrer Repräsentanten davor bewahrt, grundsätzlich</w:t>
      </w:r>
      <w:r w:rsidR="000B0982">
        <w:t xml:space="preserve"> </w:t>
      </w:r>
      <w:r w:rsidRPr="003123B8">
        <w:t xml:space="preserve">u. wesentlich aus der Gnade u. den Verheißungen Gottes </w:t>
      </w:r>
      <w:r w:rsidR="000B0982">
        <w:t xml:space="preserve"> h</w:t>
      </w:r>
      <w:r w:rsidRPr="003123B8">
        <w:t>erauszufallen.</w:t>
      </w:r>
      <w:r w:rsidR="000B0982">
        <w:t xml:space="preserve"> </w:t>
      </w:r>
      <w:r w:rsidRPr="003123B8">
        <w:t>Die Sünde der Kirche ist nie die Offenbarung des »Wesensgrundes« der</w:t>
      </w:r>
      <w:r w:rsidR="000B0982">
        <w:t xml:space="preserve"> </w:t>
      </w:r>
      <w:r w:rsidRPr="003123B8">
        <w:t>Kirche.</w:t>
      </w:r>
    </w:p>
    <w:p w:rsidR="00F91610" w:rsidRDefault="00F91610" w:rsidP="003123B8"/>
    <w:p w:rsidR="000D30B7" w:rsidRPr="003123B8" w:rsidRDefault="000D30B7" w:rsidP="000D30B7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277</w:t>
      </w:r>
      <w:r w:rsidRPr="003123B8">
        <w:rPr>
          <w:i/>
        </w:rPr>
        <w:t>f.</w:t>
      </w:r>
    </w:p>
    <w:p w:rsidR="003123B8" w:rsidRDefault="003123B8" w:rsidP="003123B8"/>
    <w:p w:rsidR="000D30B7" w:rsidRPr="00F91610" w:rsidRDefault="000D30B7" w:rsidP="003123B8"/>
    <w:p w:rsidR="00B442DF" w:rsidRDefault="00B442DF" w:rsidP="003123B8"/>
    <w:p w:rsidR="00B442DF" w:rsidRPr="00B442DF" w:rsidRDefault="00B442DF" w:rsidP="003123B8">
      <w:r w:rsidRPr="00B442DF">
        <w:t>Gruppenarbeit:</w:t>
      </w:r>
    </w:p>
    <w:p w:rsidR="00B442DF" w:rsidRDefault="00B442DF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B442DF" w:rsidRDefault="00B442DF" w:rsidP="003123B8">
      <w:r>
        <w:t xml:space="preserve">Was bedeutet es, dass die Kirche </w:t>
      </w:r>
      <w:r w:rsidRPr="00546191">
        <w:rPr>
          <w:b/>
        </w:rPr>
        <w:t>heilig</w:t>
      </w:r>
      <w:r>
        <w:t xml:space="preserve"> ist?</w:t>
      </w:r>
    </w:p>
    <w:p w:rsidR="00B442DF" w:rsidRDefault="00B442DF" w:rsidP="003123B8">
      <w:r>
        <w:t>Wie kann dieses Merkmal heute – trotz der historisch offensichtlichen Fehler der Kirchen – verstanden und erklärt werden?</w:t>
      </w:r>
    </w:p>
    <w:p w:rsidR="00F91610" w:rsidRPr="003123B8" w:rsidRDefault="00F31EF9" w:rsidP="003123B8">
      <w:r>
        <w:rPr>
          <w:b/>
        </w:rPr>
        <w:br w:type="page"/>
      </w:r>
      <w:r w:rsidR="00F91610" w:rsidRPr="003123B8">
        <w:rPr>
          <w:b/>
        </w:rPr>
        <w:lastRenderedPageBreak/>
        <w:t xml:space="preserve">Katholizität der Kirche, </w:t>
      </w:r>
      <w:r w:rsidR="00F91610" w:rsidRPr="003123B8">
        <w:t>eine der vier Wesenseigenschaften u. ein Kennzeichen</w:t>
      </w:r>
      <w:r w:rsidR="000B0982">
        <w:t xml:space="preserve"> </w:t>
      </w:r>
      <w:r w:rsidR="00F91610" w:rsidRPr="003123B8">
        <w:t>der wahren Kirche Jesu Christi. Den biblischen Hintergrund bilden</w:t>
      </w:r>
      <w:r w:rsidR="000B0982">
        <w:t xml:space="preserve"> </w:t>
      </w:r>
      <w:r w:rsidR="00F91610" w:rsidRPr="003123B8">
        <w:t>die Zeugnisse für einen universalen Auftrag (vor allem Völkerwallfahrt</w:t>
      </w:r>
      <w:r w:rsidR="000B0982">
        <w:t xml:space="preserve"> </w:t>
      </w:r>
      <w:r w:rsidR="00F91610" w:rsidRPr="003123B8">
        <w:t>im AT, Sendung bis an die Grenzen der Erde im NT; in Spätschriften des</w:t>
      </w:r>
      <w:r w:rsidR="000B0982">
        <w:t xml:space="preserve"> </w:t>
      </w:r>
      <w:r w:rsidR="00F91610" w:rsidRPr="003123B8">
        <w:t>NT kosmisch ausgeweitet; Pleroma). K. besagt, a) dass die Kirche wegen des universalen Heilswillens Gottes, wegen des grundsätzlich alle Menschen</w:t>
      </w:r>
      <w:r w:rsidR="000B0982">
        <w:t xml:space="preserve"> </w:t>
      </w:r>
      <w:r w:rsidR="00F91610" w:rsidRPr="003123B8">
        <w:t>umfassenden Heilswirkens Jesu u. wegen der Mitteilung des Heiligen</w:t>
      </w:r>
    </w:p>
    <w:p w:rsidR="00F91610" w:rsidRPr="003123B8" w:rsidRDefault="00F91610" w:rsidP="003123B8">
      <w:r w:rsidRPr="003123B8">
        <w:t>Geistes an alle Menschen in einer räumlich u. zeitlich unbegrenzten</w:t>
      </w:r>
      <w:r w:rsidR="000B0982">
        <w:t xml:space="preserve"> </w:t>
      </w:r>
      <w:r w:rsidRPr="003123B8">
        <w:t>Weise allen Menschen offensteht (u., als Verpflichtung für die Kirche, allen</w:t>
      </w:r>
      <w:r w:rsidR="000B0982">
        <w:t xml:space="preserve"> </w:t>
      </w:r>
      <w:r w:rsidRPr="003123B8">
        <w:t>zugänglich sein muss). Die Einsicht in ihre Heilsnotwendigkeit hängt wesentlich</w:t>
      </w:r>
      <w:r w:rsidR="000B0982">
        <w:t xml:space="preserve"> </w:t>
      </w:r>
      <w:r w:rsidRPr="003123B8">
        <w:t>von der Erfüllung dieser Aufgabe auf der Ebene der Wahrnehmung</w:t>
      </w:r>
      <w:r w:rsidR="000B0982">
        <w:t xml:space="preserve"> </w:t>
      </w:r>
      <w:r w:rsidRPr="003123B8">
        <w:t>ab. Die Kirche muss den von Gott gewollten Pluralismus (in vielfältigen</w:t>
      </w:r>
      <w:r w:rsidR="000B0982">
        <w:t xml:space="preserve"> </w:t>
      </w:r>
      <w:r w:rsidRPr="003123B8">
        <w:t>privaten u. öffentlichen Bereichen) jederzeit anerkennen u. darf</w:t>
      </w:r>
      <w:r w:rsidR="000B0982">
        <w:t xml:space="preserve"> </w:t>
      </w:r>
      <w:r w:rsidRPr="003123B8">
        <w:t>ihre Verkündigung, Liturgie u. kirchlichen Lebensformen nie auf einen</w:t>
      </w:r>
      <w:r w:rsidR="000B0982">
        <w:t xml:space="preserve"> </w:t>
      </w:r>
      <w:r w:rsidRPr="003123B8">
        <w:t>bestimmten Kulturkreis, Personenkreis (eine bestimmte Rasse oder Klasse)</w:t>
      </w:r>
      <w:r w:rsidR="000B0982" w:rsidRPr="003123B8">
        <w:t xml:space="preserve"> </w:t>
      </w:r>
      <w:r w:rsidRPr="003123B8">
        <w:t>usw. einschränken u. andere ausgrenzen; diese universale Offenheit verlangt</w:t>
      </w:r>
      <w:r w:rsidR="000B0982">
        <w:t xml:space="preserve"> </w:t>
      </w:r>
      <w:r w:rsidRPr="003123B8">
        <w:t>von der Kirche, dass sie um konfessionelle Ökumene in Anerkennung</w:t>
      </w:r>
      <w:r w:rsidR="000B0982">
        <w:t xml:space="preserve"> </w:t>
      </w:r>
      <w:r w:rsidRPr="003123B8">
        <w:t>der Andersartigkeit anderer Kirchen (um »versöhnte Verschiedenheit«)</w:t>
      </w:r>
      <w:r w:rsidR="000B0982">
        <w:t xml:space="preserve"> </w:t>
      </w:r>
      <w:r w:rsidRPr="003123B8">
        <w:t>bemüht ist. K. besagt ferner b) dass der Kirche die Fülle der Offenbarung</w:t>
      </w:r>
      <w:r w:rsidR="000B0982">
        <w:t xml:space="preserve"> </w:t>
      </w:r>
      <w:r w:rsidRPr="003123B8">
        <w:t>Gottes in Jesus Christus anvertraut ist, die sie zur Praxis der Liebe in Einheit</w:t>
      </w:r>
      <w:r w:rsidR="000B0982">
        <w:t xml:space="preserve"> </w:t>
      </w:r>
      <w:r w:rsidRPr="003123B8">
        <w:t>von Gottes- u. Menschenliebe u. zur Feier der universalen Versöhnung</w:t>
      </w:r>
      <w:r w:rsidR="000B0982">
        <w:t xml:space="preserve"> </w:t>
      </w:r>
      <w:r w:rsidRPr="003123B8">
        <w:t>in den Sakramenten motiviert. Unter Berücksichtigung der Sonderstellung</w:t>
      </w:r>
      <w:r w:rsidR="000B0982">
        <w:t xml:space="preserve"> </w:t>
      </w:r>
      <w:r w:rsidRPr="003123B8">
        <w:t>des Judentums in der Heilsgeschichte resultiert aus der Gabe der Offenbarung</w:t>
      </w:r>
      <w:r w:rsidR="000B0982">
        <w:t xml:space="preserve"> </w:t>
      </w:r>
      <w:r w:rsidRPr="003123B8">
        <w:t>auch die Aufgabe universaler Verkündigung an »alle Völker« (Mt</w:t>
      </w:r>
    </w:p>
    <w:p w:rsidR="00F91610" w:rsidRDefault="00F91610" w:rsidP="003123B8">
      <w:r w:rsidRPr="003123B8">
        <w:t>28, 19) in der Mission. – Die K. ist Gegenstand des christlichen Glaubensbekenntnisses.</w:t>
      </w:r>
    </w:p>
    <w:p w:rsidR="000D30B7" w:rsidRDefault="000D30B7" w:rsidP="003123B8"/>
    <w:p w:rsidR="000D30B7" w:rsidRPr="003123B8" w:rsidRDefault="000D30B7" w:rsidP="000D30B7">
      <w:pPr>
        <w:jc w:val="right"/>
        <w:rPr>
          <w:i/>
        </w:rPr>
      </w:pPr>
      <w:r w:rsidRPr="003123B8">
        <w:rPr>
          <w:i/>
        </w:rPr>
        <w:t xml:space="preserve">Herbert Vorgrimler, Neues theologisches Wörterbuch, Freiburg i. Br. 2000, </w:t>
      </w:r>
      <w:r>
        <w:rPr>
          <w:i/>
        </w:rPr>
        <w:t>340</w:t>
      </w:r>
      <w:r w:rsidRPr="003123B8">
        <w:rPr>
          <w:i/>
        </w:rPr>
        <w:t>f.</w:t>
      </w:r>
    </w:p>
    <w:p w:rsidR="000D30B7" w:rsidRPr="003123B8" w:rsidRDefault="000D30B7" w:rsidP="003123B8"/>
    <w:p w:rsidR="00546191" w:rsidRPr="003123B8" w:rsidRDefault="00546191" w:rsidP="003123B8"/>
    <w:p w:rsidR="00546191" w:rsidRDefault="00546191" w:rsidP="003123B8"/>
    <w:p w:rsidR="00546191" w:rsidRPr="00B442DF" w:rsidRDefault="00546191" w:rsidP="003123B8">
      <w:r w:rsidRPr="00B442DF">
        <w:t>Gruppenarbeit:</w:t>
      </w:r>
    </w:p>
    <w:p w:rsidR="00546191" w:rsidRDefault="00546191" w:rsidP="003123B8">
      <w:r>
        <w:br/>
        <w:t xml:space="preserve">Im </w:t>
      </w:r>
      <w:r w:rsidR="00FA72D1">
        <w:t xml:space="preserve">Grossen </w:t>
      </w:r>
      <w:r>
        <w:t>Glaubensbekenntnis bekennen wir vier Merkmale der Kirche: Ich glaube … die eine, heilige, katholische und apostolische Kirche…</w:t>
      </w:r>
    </w:p>
    <w:p w:rsidR="00546191" w:rsidRDefault="00546191" w:rsidP="003123B8">
      <w:r>
        <w:t xml:space="preserve">Was bedeutet es, dass die Kirche </w:t>
      </w:r>
      <w:r w:rsidRPr="00FA72D1">
        <w:rPr>
          <w:b/>
        </w:rPr>
        <w:t>katholisch</w:t>
      </w:r>
      <w:r>
        <w:t xml:space="preserve"> ist?</w:t>
      </w:r>
    </w:p>
    <w:p w:rsidR="00546191" w:rsidRDefault="00546191" w:rsidP="003123B8">
      <w:r>
        <w:t>Wie kann dieses Merkmal heute verstanden und erklärt werden?</w:t>
      </w:r>
    </w:p>
    <w:p w:rsidR="00546191" w:rsidRPr="00F91610" w:rsidRDefault="00546191" w:rsidP="003123B8"/>
    <w:sectPr w:rsidR="00546191" w:rsidRPr="00F916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3F" w:rsidRDefault="00011C3F">
      <w:r>
        <w:separator/>
      </w:r>
    </w:p>
  </w:endnote>
  <w:endnote w:type="continuationSeparator" w:id="0">
    <w:p w:rsidR="00011C3F" w:rsidRDefault="000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AltOne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dvSW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F9" w:rsidRDefault="00F31EF9" w:rsidP="00F31EF9">
    <w:pPr>
      <w:pStyle w:val="Fuzeile"/>
    </w:pPr>
    <w:r w:rsidRPr="002B1A89">
      <w:t>Kirche als Ort der Begegnung</w:t>
    </w:r>
    <w:r>
      <w:t xml:space="preserve"> / sechste Kurseinhe</w:t>
    </w:r>
    <w:r w:rsidR="00803B5E">
      <w:t>it</w:t>
    </w:r>
    <w:r w:rsidR="00803B5E">
      <w:tab/>
    </w:r>
    <w:r w:rsidR="00803B5E">
      <w:tab/>
    </w:r>
    <w:r w:rsidR="00803B5E">
      <w:tab/>
    </w:r>
    <w:r w:rsidR="00803B5E">
      <w:tab/>
      <w:t xml:space="preserve">         Arbeitsblatt A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3F" w:rsidRDefault="00011C3F">
      <w:r>
        <w:separator/>
      </w:r>
    </w:p>
  </w:footnote>
  <w:footnote w:type="continuationSeparator" w:id="0">
    <w:p w:rsidR="00011C3F" w:rsidRDefault="0001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EF9" w:rsidRPr="008F35B5" w:rsidRDefault="000E1BC6" w:rsidP="008F35B5">
    <w:pPr>
      <w:pStyle w:val="Kopfzeile"/>
    </w:pPr>
    <w:r>
      <w:rPr>
        <w:sz w:val="20"/>
      </w:rPr>
      <w:t>TBI – Theologische Grundbildung</w:t>
    </w:r>
    <w:r w:rsidR="008F35B5">
      <w:rPr>
        <w:sz w:val="20"/>
      </w:rPr>
      <w:tab/>
    </w:r>
    <w:r w:rsidR="008F35B5">
      <w:rPr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2316428A"/>
    <w:multiLevelType w:val="hybridMultilevel"/>
    <w:tmpl w:val="D8ACFD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472F0"/>
    <w:multiLevelType w:val="hybridMultilevel"/>
    <w:tmpl w:val="7A3E0D18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570937"/>
    <w:multiLevelType w:val="hybridMultilevel"/>
    <w:tmpl w:val="4508CB9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5CE1"/>
    <w:multiLevelType w:val="hybridMultilevel"/>
    <w:tmpl w:val="D602AA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F1795"/>
    <w:multiLevelType w:val="hybridMultilevel"/>
    <w:tmpl w:val="DEA644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7"/>
  </w:num>
  <w:num w:numId="16">
    <w:abstractNumId w:val="5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1C3F"/>
    <w:rsid w:val="00012CB9"/>
    <w:rsid w:val="00024823"/>
    <w:rsid w:val="00065029"/>
    <w:rsid w:val="000B0982"/>
    <w:rsid w:val="000D30B7"/>
    <w:rsid w:val="000E1BC6"/>
    <w:rsid w:val="000E3FB1"/>
    <w:rsid w:val="00140D7C"/>
    <w:rsid w:val="001504BD"/>
    <w:rsid w:val="0015763F"/>
    <w:rsid w:val="0017523A"/>
    <w:rsid w:val="002012DB"/>
    <w:rsid w:val="00214B78"/>
    <w:rsid w:val="00223F20"/>
    <w:rsid w:val="00241742"/>
    <w:rsid w:val="00276DE3"/>
    <w:rsid w:val="002F2BD2"/>
    <w:rsid w:val="00301EAC"/>
    <w:rsid w:val="003123B8"/>
    <w:rsid w:val="00364FDD"/>
    <w:rsid w:val="00392A15"/>
    <w:rsid w:val="00395A82"/>
    <w:rsid w:val="004F5A64"/>
    <w:rsid w:val="00546191"/>
    <w:rsid w:val="005621F5"/>
    <w:rsid w:val="005938C6"/>
    <w:rsid w:val="00597FB4"/>
    <w:rsid w:val="005A65A6"/>
    <w:rsid w:val="005B0013"/>
    <w:rsid w:val="005C4E78"/>
    <w:rsid w:val="00636769"/>
    <w:rsid w:val="006E138B"/>
    <w:rsid w:val="007B6FB0"/>
    <w:rsid w:val="007C0027"/>
    <w:rsid w:val="00803B5E"/>
    <w:rsid w:val="008F35B5"/>
    <w:rsid w:val="0091783A"/>
    <w:rsid w:val="00957AE3"/>
    <w:rsid w:val="00984869"/>
    <w:rsid w:val="009F70BE"/>
    <w:rsid w:val="00AA7A25"/>
    <w:rsid w:val="00AB6CD6"/>
    <w:rsid w:val="00B442DF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015EB"/>
    <w:rsid w:val="00D35F55"/>
    <w:rsid w:val="00D70DC1"/>
    <w:rsid w:val="00E11F84"/>
    <w:rsid w:val="00F16EA5"/>
    <w:rsid w:val="00F31EF9"/>
    <w:rsid w:val="00F86787"/>
    <w:rsid w:val="00F91610"/>
    <w:rsid w:val="00FA72D1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F3BA0E0-EC5B-4697-A63E-C68BEC32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3123B8"/>
    <w:pPr>
      <w:autoSpaceDE w:val="0"/>
      <w:autoSpaceDN w:val="0"/>
      <w:adjustRightInd w:val="0"/>
    </w:pPr>
    <w:rPr>
      <w:rFonts w:ascii="Century Gothic" w:hAnsi="Century Gothic" w:cs="GillAltOneMT-Bold"/>
      <w:bCs/>
      <w:sz w:val="22"/>
      <w:szCs w:val="22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  <w:szCs w:val="20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 w:val="0"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92A15"/>
    <w:pPr>
      <w:spacing w:before="120"/>
      <w:outlineLvl w:val="2"/>
    </w:pPr>
    <w:rPr>
      <w:rFonts w:ascii="Times New Roman" w:hAnsi="Times New Roman"/>
      <w:b/>
      <w:bCs w:val="0"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 w:val="0"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  <w:rPr>
      <w:sz w:val="24"/>
    </w:rPr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val="de-DE"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val="de-DE" w:eastAsia="de-DE"/>
    </w:rPr>
  </w:style>
  <w:style w:type="paragraph" w:styleId="Standardeinzug">
    <w:name w:val="Normal Indent"/>
    <w:basedOn w:val="Standard"/>
    <w:rsid w:val="00AA7A25"/>
    <w:pPr>
      <w:spacing w:after="120"/>
      <w:ind w:firstLine="709"/>
      <w:jc w:val="both"/>
    </w:pPr>
    <w:rPr>
      <w:szCs w:val="20"/>
      <w:lang w:val="de-DE"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spacing w:after="120"/>
      <w:ind w:left="851"/>
      <w:jc w:val="both"/>
    </w:pPr>
    <w:rPr>
      <w:szCs w:val="20"/>
      <w:lang w:val="de-DE"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rFonts w:cs="Times New Roman"/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spacing w:after="120"/>
      <w:ind w:left="851" w:right="-142" w:hanging="851"/>
      <w:jc w:val="both"/>
    </w:pPr>
    <w:rPr>
      <w:szCs w:val="20"/>
      <w:lang w:val="de-DE" w:eastAsia="de-DE"/>
    </w:rPr>
  </w:style>
  <w:style w:type="paragraph" w:customStyle="1" w:styleId="Legende">
    <w:name w:val="Legende"/>
    <w:basedOn w:val="Standard"/>
    <w:autoRedefine/>
    <w:rsid w:val="005B0013"/>
    <w:pPr>
      <w:spacing w:before="120" w:line="260" w:lineRule="exact"/>
      <w:jc w:val="center"/>
    </w:pPr>
    <w:rPr>
      <w:b/>
      <w:szCs w:val="20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 w:val="0"/>
      <w:sz w:val="36"/>
      <w:szCs w:val="20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szCs w:val="20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 w:val="0"/>
      <w:sz w:val="28"/>
      <w:szCs w:val="20"/>
      <w:lang w:eastAsia="de-DE"/>
    </w:rPr>
  </w:style>
  <w:style w:type="paragraph" w:styleId="Textkrper">
    <w:name w:val="Body Text"/>
    <w:basedOn w:val="Standard"/>
    <w:rsid w:val="005A65A6"/>
    <w:pPr>
      <w:spacing w:after="120"/>
    </w:pPr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spacing w:after="60"/>
      <w:textAlignment w:val="baseline"/>
    </w:pPr>
    <w:rPr>
      <w:color w:val="000000"/>
      <w:sz w:val="18"/>
      <w:szCs w:val="20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spacing w:line="280" w:lineRule="exact"/>
      <w:textAlignment w:val="baseline"/>
    </w:pPr>
    <w:rPr>
      <w:color w:val="000000"/>
      <w:sz w:val="18"/>
      <w:szCs w:val="20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spacing w:line="260" w:lineRule="exact"/>
      <w:textAlignment w:val="baseline"/>
    </w:pPr>
    <w:rPr>
      <w:color w:val="000000"/>
      <w:sz w:val="18"/>
      <w:szCs w:val="20"/>
    </w:rPr>
  </w:style>
  <w:style w:type="paragraph" w:styleId="Verzeichnis1">
    <w:name w:val="toc 1"/>
    <w:basedOn w:val="Standard"/>
    <w:next w:val="Standard"/>
    <w:semiHidden/>
    <w:rsid w:val="00C43B7E"/>
    <w:rPr>
      <w:b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F31EF9"/>
    <w:pPr>
      <w:pBdr>
        <w:top w:val="single" w:sz="6" w:space="3" w:color="auto"/>
      </w:pBdr>
      <w:tabs>
        <w:tab w:val="right" w:pos="-720"/>
        <w:tab w:val="right" w:pos="-540"/>
      </w:tabs>
      <w:ind w:right="-1"/>
    </w:pPr>
    <w:rPr>
      <w:sz w:val="18"/>
      <w:szCs w:val="18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  <w:szCs w:val="20"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spacing w:before="56" w:line="284" w:lineRule="exact"/>
      <w:textAlignment w:val="baseline"/>
    </w:pPr>
    <w:rPr>
      <w:szCs w:val="20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spacing w:before="240" w:after="260" w:line="360" w:lineRule="exact"/>
      <w:ind w:left="624" w:hanging="624"/>
      <w:jc w:val="both"/>
      <w:textAlignment w:val="baseline"/>
    </w:pPr>
    <w:rPr>
      <w:b/>
      <w:bCs w:val="0"/>
      <w:sz w:val="28"/>
      <w:szCs w:val="20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spacing w:before="56" w:line="266" w:lineRule="exact"/>
      <w:textAlignment w:val="baseline"/>
    </w:pPr>
    <w:rPr>
      <w:szCs w:val="20"/>
    </w:rPr>
  </w:style>
  <w:style w:type="paragraph" w:customStyle="1" w:styleId="WPBullets">
    <w:name w:val="WP Bullets"/>
    <w:basedOn w:val="Standard"/>
    <w:autoRedefine/>
    <w:rsid w:val="00E11F84"/>
    <w:pPr>
      <w:overflowPunct w:val="0"/>
      <w:spacing w:before="113" w:line="240" w:lineRule="exact"/>
      <w:ind w:left="709" w:hanging="709"/>
      <w:textAlignment w:val="baseline"/>
    </w:pPr>
    <w:rPr>
      <w:sz w:val="18"/>
      <w:szCs w:val="20"/>
    </w:rPr>
  </w:style>
  <w:style w:type="paragraph" w:customStyle="1" w:styleId="Brot-Ritus">
    <w:name w:val="Brot-Ritus"/>
    <w:basedOn w:val="Standard"/>
    <w:autoRedefine/>
    <w:rsid w:val="00E11F84"/>
    <w:pPr>
      <w:overflowPunct w:val="0"/>
      <w:spacing w:before="80" w:after="80" w:line="360" w:lineRule="exact"/>
      <w:ind w:left="624" w:hanging="624"/>
      <w:jc w:val="center"/>
      <w:textAlignment w:val="baseline"/>
    </w:pPr>
    <w:rPr>
      <w:b/>
      <w:bCs w:val="0"/>
      <w:szCs w:val="20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spacing w:before="85"/>
      <w:ind w:left="425" w:right="567"/>
      <w:textAlignment w:val="baseline"/>
    </w:pPr>
    <w:rPr>
      <w:i w:val="0"/>
      <w:iCs w:val="0"/>
      <w:sz w:val="18"/>
      <w:szCs w:val="20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  <w:szCs w:val="20"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 w:val="0"/>
      <w:noProof/>
      <w:kern w:val="28"/>
      <w:sz w:val="28"/>
      <w:szCs w:val="20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spacing w:before="56" w:line="312" w:lineRule="exact"/>
      <w:jc w:val="both"/>
      <w:textAlignment w:val="baseline"/>
    </w:pPr>
    <w:rPr>
      <w:rFonts w:ascii="Palatino" w:hAnsi="Palatino"/>
      <w:szCs w:val="20"/>
    </w:rPr>
  </w:style>
  <w:style w:type="paragraph" w:styleId="Kopfzeile">
    <w:name w:val="header"/>
    <w:basedOn w:val="Standard"/>
    <w:rsid w:val="00F31E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Apostolizität der Kirche bezeichnet eine Eigenschaft, die der Kirche von</vt:lpstr>
    </vt:vector>
  </TitlesOfParts>
  <Company> 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Apostolizität der Kirche bezeichnet eine Eigenschaft, die der Kirche von</dc:title>
  <dc:subject/>
  <dc:creator>Felix</dc:creator>
  <cp:keywords/>
  <dc:description/>
  <cp:lastModifiedBy> Romy Janson</cp:lastModifiedBy>
  <cp:revision>2</cp:revision>
  <dcterms:created xsi:type="dcterms:W3CDTF">2019-10-03T10:18:00Z</dcterms:created>
  <dcterms:modified xsi:type="dcterms:W3CDTF">2019-10-03T10:18:00Z</dcterms:modified>
</cp:coreProperties>
</file>